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A1D7D9" w14:textId="3DE9E035" w:rsidR="008408CD" w:rsidRPr="00037D75" w:rsidRDefault="008408CD" w:rsidP="00867DEF">
      <w:pPr>
        <w:jc w:val="both"/>
        <w:rPr>
          <w:b/>
          <w:color w:val="000000"/>
        </w:rPr>
      </w:pPr>
      <w:r w:rsidRPr="00037D75">
        <w:rPr>
          <w:rFonts w:hint="eastAsia"/>
          <w:b/>
          <w:color w:val="000000"/>
          <w:lang w:eastAsia="zh-CN"/>
        </w:rPr>
        <w:t>T</w:t>
      </w:r>
      <w:r w:rsidRPr="00037D75">
        <w:rPr>
          <w:b/>
          <w:color w:val="000000"/>
        </w:rPr>
        <w:t xml:space="preserve">he legends of the </w:t>
      </w:r>
      <w:r w:rsidRPr="00037D75">
        <w:rPr>
          <w:rFonts w:hint="eastAsia"/>
          <w:b/>
          <w:color w:val="000000"/>
          <w:lang w:eastAsia="zh-CN"/>
        </w:rPr>
        <w:t>S</w:t>
      </w:r>
      <w:r w:rsidRPr="00037D75">
        <w:rPr>
          <w:b/>
          <w:color w:val="000000"/>
        </w:rPr>
        <w:t xml:space="preserve">upplementary </w:t>
      </w:r>
      <w:r w:rsidRPr="00037D75">
        <w:rPr>
          <w:rFonts w:hint="eastAsia"/>
          <w:b/>
          <w:color w:val="000000"/>
          <w:lang w:eastAsia="zh-CN"/>
        </w:rPr>
        <w:t>F</w:t>
      </w:r>
      <w:r w:rsidRPr="00037D75">
        <w:rPr>
          <w:b/>
          <w:color w:val="000000"/>
        </w:rPr>
        <w:t>igures</w:t>
      </w:r>
    </w:p>
    <w:p w14:paraId="7F7C8146" w14:textId="1B03B0C9" w:rsidR="00867DEF" w:rsidRPr="00037D75" w:rsidRDefault="00867DEF" w:rsidP="00867DEF">
      <w:pPr>
        <w:jc w:val="both"/>
        <w:rPr>
          <w:color w:val="000000"/>
        </w:rPr>
      </w:pPr>
      <w:r w:rsidRPr="00037D75">
        <w:rPr>
          <w:b/>
          <w:color w:val="000000"/>
          <w:lang w:eastAsia="zh-CN"/>
        </w:rPr>
        <w:t>Su</w:t>
      </w:r>
      <w:r w:rsidRPr="00037D75">
        <w:rPr>
          <w:b/>
          <w:color w:val="000000"/>
        </w:rPr>
        <w:t xml:space="preserve">pplementary </w:t>
      </w:r>
      <w:r w:rsidRPr="00037D75">
        <w:rPr>
          <w:b/>
          <w:bCs/>
          <w:color w:val="000000"/>
        </w:rPr>
        <w:t>Figure 1 LPS-induced migration, invasion and epithelial-to-mesenchymal transition.</w:t>
      </w:r>
      <w:r w:rsidRPr="00037D75">
        <w:rPr>
          <w:color w:val="000000"/>
        </w:rPr>
        <w:t xml:space="preserve"> The wound healing assays of PC3 cells with various concentrations of LPS stimulation for 24 hrs were conducted</w:t>
      </w:r>
      <w:r w:rsidRPr="00037D75">
        <w:rPr>
          <w:b/>
          <w:bCs/>
          <w:color w:val="000000"/>
        </w:rPr>
        <w:t xml:space="preserve"> (A)</w:t>
      </w:r>
      <w:r w:rsidRPr="00037D75">
        <w:rPr>
          <w:color w:val="000000"/>
        </w:rPr>
        <w:t xml:space="preserve"> and the data was presented as an average of three independent experiments </w:t>
      </w:r>
      <w:r w:rsidRPr="00037D75">
        <w:rPr>
          <w:b/>
          <w:bCs/>
          <w:color w:val="000000"/>
        </w:rPr>
        <w:t>(C)</w:t>
      </w:r>
      <w:r w:rsidRPr="00037D75">
        <w:rPr>
          <w:color w:val="000000"/>
        </w:rPr>
        <w:t xml:space="preserve">. The wound healing assays of PC3 cells with LPS stimulation (0.01 μg/ml) at indicated period of time were conducted </w:t>
      </w:r>
      <w:r w:rsidRPr="00037D75">
        <w:rPr>
          <w:b/>
          <w:bCs/>
          <w:color w:val="000000"/>
        </w:rPr>
        <w:t>(B)</w:t>
      </w:r>
      <w:r w:rsidRPr="00037D75">
        <w:rPr>
          <w:color w:val="000000"/>
        </w:rPr>
        <w:t xml:space="preserve"> and the data was presented as an average of three independent experiments </w:t>
      </w:r>
      <w:r w:rsidRPr="00037D75">
        <w:rPr>
          <w:b/>
          <w:bCs/>
          <w:color w:val="000000"/>
        </w:rPr>
        <w:t>(D)</w:t>
      </w:r>
      <w:r w:rsidRPr="00037D75">
        <w:rPr>
          <w:color w:val="000000"/>
        </w:rPr>
        <w:t xml:space="preserve">. The expression of CK8, CK18 and Vimentin in PC3 cells treated with LPS at 0.01 μg/ml for indicated period of time was evaluated using qRT-PCR, and the ratio of CK8/Vimentin or CK18/Vimentin was presented </w:t>
      </w:r>
      <w:r w:rsidRPr="00037D75">
        <w:rPr>
          <w:b/>
          <w:bCs/>
          <w:color w:val="000000"/>
        </w:rPr>
        <w:t>(E)</w:t>
      </w:r>
      <w:r w:rsidRPr="00037D75">
        <w:rPr>
          <w:color w:val="000000"/>
        </w:rPr>
        <w:t xml:space="preserve">. (By comparing with control group, *, </w:t>
      </w:r>
      <w:r w:rsidRPr="00037D75">
        <w:rPr>
          <w:i/>
          <w:color w:val="000000"/>
        </w:rPr>
        <w:t>p</w:t>
      </w:r>
      <w:r w:rsidRPr="00037D75">
        <w:rPr>
          <w:color w:val="000000"/>
        </w:rPr>
        <w:t xml:space="preserve">&lt;0.05; **, </w:t>
      </w:r>
      <w:r w:rsidRPr="00037D75">
        <w:rPr>
          <w:i/>
          <w:color w:val="000000"/>
        </w:rPr>
        <w:t>p</w:t>
      </w:r>
      <w:r w:rsidRPr="00037D75">
        <w:rPr>
          <w:color w:val="000000"/>
        </w:rPr>
        <w:t xml:space="preserve">&lt;0.01; ***, </w:t>
      </w:r>
      <w:r w:rsidRPr="00037D75">
        <w:rPr>
          <w:i/>
          <w:color w:val="000000"/>
        </w:rPr>
        <w:t>p</w:t>
      </w:r>
      <w:r w:rsidRPr="00037D75">
        <w:rPr>
          <w:color w:val="000000"/>
        </w:rPr>
        <w:t>&lt;0.001)</w:t>
      </w:r>
    </w:p>
    <w:p w14:paraId="66784D11" w14:textId="77777777" w:rsidR="00867DEF" w:rsidRPr="00037D75" w:rsidRDefault="00867DEF" w:rsidP="00867DEF">
      <w:pPr>
        <w:jc w:val="both"/>
        <w:rPr>
          <w:color w:val="000000"/>
        </w:rPr>
      </w:pPr>
      <w:r w:rsidRPr="00037D75">
        <w:rPr>
          <w:b/>
          <w:color w:val="000000"/>
          <w:lang w:eastAsia="zh-CN"/>
        </w:rPr>
        <w:t>Su</w:t>
      </w:r>
      <w:r w:rsidRPr="00037D75">
        <w:rPr>
          <w:b/>
          <w:color w:val="000000"/>
        </w:rPr>
        <w:t xml:space="preserve">pplementary </w:t>
      </w:r>
      <w:r w:rsidRPr="00037D75">
        <w:rPr>
          <w:b/>
          <w:bCs/>
          <w:color w:val="000000"/>
        </w:rPr>
        <w:t>Figure 2 LPS-induced migration, invasion and epithelial-to-mesenchymal transition.</w:t>
      </w:r>
      <w:r w:rsidRPr="00037D75">
        <w:rPr>
          <w:color w:val="000000"/>
        </w:rPr>
        <w:t xml:space="preserve"> The wound healing assays of RWPE-1 cells with various concentrations of LPS stimulation for 24 hrs were conducted</w:t>
      </w:r>
      <w:r w:rsidRPr="00037D75">
        <w:rPr>
          <w:b/>
          <w:bCs/>
          <w:color w:val="000000"/>
        </w:rPr>
        <w:t xml:space="preserve"> (A)</w:t>
      </w:r>
      <w:r w:rsidRPr="00037D75">
        <w:rPr>
          <w:color w:val="000000"/>
        </w:rPr>
        <w:t xml:space="preserve"> and the data was presented as an average of three independent experiments </w:t>
      </w:r>
      <w:r w:rsidRPr="00037D75">
        <w:rPr>
          <w:b/>
          <w:bCs/>
          <w:color w:val="000000"/>
        </w:rPr>
        <w:t>(C)</w:t>
      </w:r>
      <w:r w:rsidRPr="00037D75">
        <w:rPr>
          <w:color w:val="000000"/>
        </w:rPr>
        <w:t xml:space="preserve">. The wound healing assays of RWPE-1 cells with LPS stimulation (0.01 μg/ml) at indicated period of time were conducted </w:t>
      </w:r>
      <w:r w:rsidRPr="00037D75">
        <w:rPr>
          <w:b/>
          <w:bCs/>
          <w:color w:val="000000"/>
        </w:rPr>
        <w:t>(B)</w:t>
      </w:r>
      <w:r w:rsidRPr="00037D75">
        <w:rPr>
          <w:color w:val="000000"/>
        </w:rPr>
        <w:t xml:space="preserve"> and the data was presented as an average of three independent experiments </w:t>
      </w:r>
      <w:r w:rsidRPr="00037D75">
        <w:rPr>
          <w:b/>
          <w:bCs/>
          <w:color w:val="000000"/>
        </w:rPr>
        <w:t>(D)</w:t>
      </w:r>
      <w:r w:rsidRPr="00037D75">
        <w:rPr>
          <w:color w:val="000000"/>
        </w:rPr>
        <w:t xml:space="preserve">. The expression of CK8, CK18 and Vimentin in RWPE-1 cells treated with LPS at 0.01 μg/ml for indicated period of time was evaluated using qRT-PCR, and the ratio of CK8/Vimentin or CK18/Vimentin was presented </w:t>
      </w:r>
      <w:r w:rsidRPr="00037D75">
        <w:rPr>
          <w:b/>
          <w:bCs/>
          <w:color w:val="000000"/>
        </w:rPr>
        <w:t>(E)</w:t>
      </w:r>
      <w:r w:rsidRPr="00037D75">
        <w:rPr>
          <w:color w:val="000000"/>
        </w:rPr>
        <w:t xml:space="preserve">. (By comparing with control group, *, </w:t>
      </w:r>
      <w:r w:rsidRPr="00037D75">
        <w:rPr>
          <w:i/>
          <w:color w:val="000000"/>
        </w:rPr>
        <w:t>p</w:t>
      </w:r>
      <w:r w:rsidRPr="00037D75">
        <w:rPr>
          <w:color w:val="000000"/>
        </w:rPr>
        <w:t xml:space="preserve">&lt;0.05; **, </w:t>
      </w:r>
      <w:r w:rsidRPr="00037D75">
        <w:rPr>
          <w:i/>
          <w:color w:val="000000"/>
        </w:rPr>
        <w:t>p</w:t>
      </w:r>
      <w:r w:rsidRPr="00037D75">
        <w:rPr>
          <w:color w:val="000000"/>
        </w:rPr>
        <w:t xml:space="preserve">&lt;0.01; ***, </w:t>
      </w:r>
      <w:r w:rsidRPr="00037D75">
        <w:rPr>
          <w:i/>
          <w:color w:val="000000"/>
        </w:rPr>
        <w:t>p</w:t>
      </w:r>
      <w:r w:rsidRPr="00037D75">
        <w:rPr>
          <w:color w:val="000000"/>
        </w:rPr>
        <w:t>&lt;0.001)</w:t>
      </w:r>
    </w:p>
    <w:p w14:paraId="30318215" w14:textId="77777777" w:rsidR="00867DEF" w:rsidRPr="00037D75" w:rsidRDefault="00867DEF" w:rsidP="00867DEF">
      <w:pPr>
        <w:jc w:val="both"/>
        <w:rPr>
          <w:color w:val="000000"/>
        </w:rPr>
      </w:pPr>
      <w:r w:rsidRPr="00037D75">
        <w:rPr>
          <w:b/>
          <w:bCs/>
          <w:color w:val="000000"/>
        </w:rPr>
        <w:t xml:space="preserve">Supplementary Figure 3 TSA restrained LPS-induced migration </w:t>
      </w:r>
      <w:r w:rsidRPr="00037D75">
        <w:rPr>
          <w:color w:val="000000"/>
        </w:rPr>
        <w:t xml:space="preserve">PC3 cells were treated with LPS at 0.01 μg/ml and/or indicated concentration of TSA for 24 hrs and the wound healing assays were conducted. The representative results were photographed </w:t>
      </w:r>
      <w:r w:rsidRPr="00037D75">
        <w:rPr>
          <w:b/>
          <w:bCs/>
          <w:color w:val="000000"/>
        </w:rPr>
        <w:t>(A)</w:t>
      </w:r>
      <w:r w:rsidRPr="00037D75">
        <w:rPr>
          <w:color w:val="000000"/>
        </w:rPr>
        <w:t xml:space="preserve">, and the data was </w:t>
      </w:r>
      <w:r w:rsidRPr="00037D75">
        <w:rPr>
          <w:color w:val="000000"/>
        </w:rPr>
        <w:lastRenderedPageBreak/>
        <w:t xml:space="preserve">presented as an average of three independent experiments </w:t>
      </w:r>
      <w:r w:rsidRPr="00037D75">
        <w:rPr>
          <w:b/>
          <w:bCs/>
          <w:color w:val="000000"/>
        </w:rPr>
        <w:t>(C)</w:t>
      </w:r>
      <w:r w:rsidRPr="00037D75">
        <w:rPr>
          <w:color w:val="000000"/>
        </w:rPr>
        <w:t xml:space="preserve">. RWPE-1 cells were treated with LPS at 0.01 μg/ml and/or indicated concentration of TSA for 24 hrs and the wound healing assays were conducted. The representative results were photographed </w:t>
      </w:r>
      <w:r w:rsidRPr="00037D75">
        <w:rPr>
          <w:b/>
          <w:bCs/>
          <w:color w:val="000000"/>
        </w:rPr>
        <w:t>(B)</w:t>
      </w:r>
      <w:r w:rsidRPr="00037D75">
        <w:rPr>
          <w:color w:val="000000"/>
        </w:rPr>
        <w:t xml:space="preserve">, and the data was presented as an average of three independent experiments </w:t>
      </w:r>
      <w:r w:rsidRPr="00037D75">
        <w:rPr>
          <w:b/>
          <w:bCs/>
          <w:color w:val="000000"/>
        </w:rPr>
        <w:t>(D)</w:t>
      </w:r>
      <w:r w:rsidRPr="00037D75">
        <w:rPr>
          <w:color w:val="000000"/>
        </w:rPr>
        <w:t xml:space="preserve">. (NS, no significant; *, </w:t>
      </w:r>
      <w:r w:rsidRPr="00037D75">
        <w:rPr>
          <w:i/>
          <w:color w:val="000000"/>
        </w:rPr>
        <w:t>p</w:t>
      </w:r>
      <w:r w:rsidRPr="00037D75">
        <w:rPr>
          <w:color w:val="000000"/>
        </w:rPr>
        <w:t xml:space="preserve">&lt;0.05; **, </w:t>
      </w:r>
      <w:r w:rsidRPr="00037D75">
        <w:rPr>
          <w:i/>
          <w:color w:val="000000"/>
        </w:rPr>
        <w:t>p</w:t>
      </w:r>
      <w:r w:rsidRPr="00037D75">
        <w:rPr>
          <w:color w:val="000000"/>
        </w:rPr>
        <w:t xml:space="preserve">&lt;0.01; ***, </w:t>
      </w:r>
      <w:r w:rsidRPr="00037D75">
        <w:rPr>
          <w:i/>
          <w:color w:val="000000"/>
        </w:rPr>
        <w:t>p</w:t>
      </w:r>
      <w:r w:rsidRPr="00037D75">
        <w:rPr>
          <w:color w:val="000000"/>
        </w:rPr>
        <w:t>&lt;0.001)</w:t>
      </w:r>
    </w:p>
    <w:p w14:paraId="488D666F" w14:textId="6EF92323" w:rsidR="008A60AD" w:rsidRPr="00037D75" w:rsidRDefault="00867DEF" w:rsidP="00E30188">
      <w:pPr>
        <w:jc w:val="both"/>
        <w:rPr>
          <w:color w:val="000000"/>
        </w:rPr>
      </w:pPr>
      <w:r w:rsidRPr="00037D75">
        <w:rPr>
          <w:b/>
          <w:bCs/>
          <w:color w:val="000000"/>
        </w:rPr>
        <w:t xml:space="preserve">Supplementary Figure 4 TSA restrained LPS-induced invasion </w:t>
      </w:r>
      <w:r w:rsidRPr="00037D75">
        <w:rPr>
          <w:color w:val="000000"/>
        </w:rPr>
        <w:t xml:space="preserve">PC3 cells were pre-treated with TSA and LPS for 24 hrs and the invasion assay was conducted. The invaded cells with crystal violet staining were photographed and counted. A representative result </w:t>
      </w:r>
      <w:r w:rsidRPr="00037D75">
        <w:rPr>
          <w:b/>
          <w:bCs/>
          <w:color w:val="000000"/>
        </w:rPr>
        <w:t xml:space="preserve">(A) </w:t>
      </w:r>
      <w:r w:rsidRPr="00037D75">
        <w:rPr>
          <w:color w:val="000000"/>
        </w:rPr>
        <w:t>and an average of three independent repeats</w:t>
      </w:r>
      <w:r w:rsidRPr="00037D75">
        <w:rPr>
          <w:b/>
          <w:bCs/>
          <w:color w:val="000000"/>
        </w:rPr>
        <w:t xml:space="preserve"> (B) </w:t>
      </w:r>
      <w:r w:rsidRPr="00037D75">
        <w:rPr>
          <w:color w:val="000000"/>
        </w:rPr>
        <w:t xml:space="preserve">were presented. RWPE-1 cells were pre-treated with TSA and LPS for 24 hrs and the invasion assay was conducted. The invaded cells with crystal violet staining were photographed and counted. A representative result </w:t>
      </w:r>
      <w:r w:rsidRPr="00037D75">
        <w:rPr>
          <w:b/>
          <w:bCs/>
          <w:color w:val="000000"/>
        </w:rPr>
        <w:t xml:space="preserve">(C) </w:t>
      </w:r>
      <w:r w:rsidRPr="00037D75">
        <w:rPr>
          <w:color w:val="000000"/>
        </w:rPr>
        <w:t>and an average of three independent repeats</w:t>
      </w:r>
      <w:r w:rsidRPr="00037D75">
        <w:rPr>
          <w:b/>
          <w:bCs/>
          <w:color w:val="000000"/>
        </w:rPr>
        <w:t xml:space="preserve"> (D) </w:t>
      </w:r>
      <w:r w:rsidRPr="00037D75">
        <w:rPr>
          <w:color w:val="000000"/>
        </w:rPr>
        <w:t xml:space="preserve">were presented. (NS, no significant; *, </w:t>
      </w:r>
      <w:r w:rsidRPr="00037D75">
        <w:rPr>
          <w:i/>
          <w:color w:val="000000"/>
        </w:rPr>
        <w:t>p</w:t>
      </w:r>
      <w:r w:rsidRPr="00037D75">
        <w:rPr>
          <w:color w:val="000000"/>
        </w:rPr>
        <w:t xml:space="preserve">&lt;0.05; **, </w:t>
      </w:r>
      <w:r w:rsidRPr="00037D75">
        <w:rPr>
          <w:i/>
          <w:color w:val="000000"/>
        </w:rPr>
        <w:t>p</w:t>
      </w:r>
      <w:r w:rsidRPr="00037D75">
        <w:rPr>
          <w:color w:val="000000"/>
        </w:rPr>
        <w:t xml:space="preserve">&lt;0.01; ***, </w:t>
      </w:r>
      <w:r w:rsidRPr="00037D75">
        <w:rPr>
          <w:i/>
          <w:color w:val="000000"/>
        </w:rPr>
        <w:t>p</w:t>
      </w:r>
      <w:r w:rsidRPr="00037D75">
        <w:rPr>
          <w:color w:val="000000"/>
        </w:rPr>
        <w:t>&lt;0.001)</w:t>
      </w:r>
    </w:p>
    <w:sectPr w:rsidR="008A60AD" w:rsidRPr="00037D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298C0" w14:textId="77777777" w:rsidR="0007124D" w:rsidRDefault="0007124D" w:rsidP="00EB4A16">
      <w:pPr>
        <w:spacing w:line="240" w:lineRule="auto"/>
      </w:pPr>
      <w:r>
        <w:separator/>
      </w:r>
    </w:p>
  </w:endnote>
  <w:endnote w:type="continuationSeparator" w:id="0">
    <w:p w14:paraId="15146B63" w14:textId="77777777" w:rsidR="0007124D" w:rsidRDefault="0007124D" w:rsidP="00EB4A1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F124BA" w14:textId="77777777" w:rsidR="0007124D" w:rsidRDefault="0007124D" w:rsidP="00EB4A16">
      <w:pPr>
        <w:spacing w:line="240" w:lineRule="auto"/>
      </w:pPr>
      <w:r>
        <w:separator/>
      </w:r>
    </w:p>
  </w:footnote>
  <w:footnote w:type="continuationSeparator" w:id="0">
    <w:p w14:paraId="0966A566" w14:textId="77777777" w:rsidR="0007124D" w:rsidRDefault="0007124D" w:rsidP="00EB4A16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4D4F"/>
    <w:rsid w:val="00037D75"/>
    <w:rsid w:val="0007124D"/>
    <w:rsid w:val="004E3B6C"/>
    <w:rsid w:val="008408CD"/>
    <w:rsid w:val="00867DEF"/>
    <w:rsid w:val="008A60AD"/>
    <w:rsid w:val="009E4D4F"/>
    <w:rsid w:val="00BC0861"/>
    <w:rsid w:val="00E30188"/>
    <w:rsid w:val="00EB4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83D089"/>
  <w15:chartTrackingRefBased/>
  <w15:docId w15:val="{00F3F967-86A7-4980-8781-4A3D810FE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7DEF"/>
    <w:pPr>
      <w:spacing w:line="480" w:lineRule="auto"/>
    </w:pPr>
    <w:rPr>
      <w:rFonts w:ascii="Arial" w:hAnsi="Arial" w:cs="Times New Roman"/>
      <w:kern w:val="0"/>
      <w:sz w:val="20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4A16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cstheme="minorBidi"/>
      <w:kern w:val="2"/>
      <w:sz w:val="18"/>
      <w:szCs w:val="18"/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rsid w:val="00EB4A16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EB4A16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hAnsiTheme="minorHAnsi" w:cstheme="minorBidi"/>
      <w:kern w:val="2"/>
      <w:sz w:val="18"/>
      <w:szCs w:val="18"/>
      <w:lang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EB4A16"/>
    <w:rPr>
      <w:sz w:val="18"/>
      <w:szCs w:val="18"/>
    </w:rPr>
  </w:style>
  <w:style w:type="character" w:styleId="CommentReference">
    <w:name w:val="annotation reference"/>
    <w:semiHidden/>
    <w:rsid w:val="00867DE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867DEF"/>
    <w:rPr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867DEF"/>
    <w:rPr>
      <w:rFonts w:ascii="Arial" w:hAnsi="Arial" w:cs="Times New Roman"/>
      <w:kern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431</Words>
  <Characters>2462</Characters>
  <Application>Microsoft Office Word</Application>
  <DocSecurity>0</DocSecurity>
  <Lines>20</Lines>
  <Paragraphs>5</Paragraphs>
  <ScaleCrop>false</ScaleCrop>
  <Company/>
  <LinksUpToDate>false</LinksUpToDate>
  <CharactersWithSpaces>2888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Tara life</dc:creator>
  <cp:keywords/>
  <dc:description/>
  <cp:lastModifiedBy>Thadani, Lavina</cp:lastModifiedBy>
  <cp:revision>2</cp:revision>
  <dcterms:created xsi:type="dcterms:W3CDTF">2021-10-13T20:04:00Z</dcterms:created>
  <dcterms:modified xsi:type="dcterms:W3CDTF">2021-10-13T20:04:00Z</dcterms:modified>
</cp:coreProperties>
</file>